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Lições do Programa Experience AI</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Introdução à unidade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Bem-vindo à nossa série de seis lições que apresentarão aos seus alunos o mundo da inteligência artificial (IA) e da aprendizagem automática (ML). Ao longo desta unidade, os seus alunos vão experimentar uma variedade de aplicações de IA do mundo real e vão ficar a conhecer a crescente gama de carreiras relacionadas com a IA. Além de considerarem as implicações sociais e éticas dos desenvolvimentos da IA, os seus alunos, juntamente consigo, terão oportunidade de aprofundar e explorar os modelos de aprendizagem automática e os motores que os fazem funcionar. Os seus alunos poderão participar em atividades práticas, nas quais criarão os seus próprios modelos de aprendizagem automática usando a ferramenta gratuita baseada na Web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(Aprendizagem Automática para Crianças) e realizarão um projeto do início ao fim, passando pelas etapas do ciclo de vida do projeto de IA.</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Visão geral das lições</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Lição</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Breve visão geral</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Objetivos de aprendizagem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O que é a IA?</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Nesta lição, os </w:t>
            </w:r>
            <w:r w:rsidDel="00000000" w:rsidR="00000000" w:rsidRPr="00000000">
              <w:rPr>
                <w:highlight w:val="white"/>
                <w:rtl w:val="0"/>
              </w:rPr>
              <w:t xml:space="preserve">alunos exploram o estado atual da inteligência artificial (IA) e como ela é usada no mundo ao seu redor</w:t>
            </w:r>
            <w:r w:rsidDel="00000000" w:rsidR="00000000" w:rsidRPr="00000000">
              <w:rPr>
                <w:rtl w:val="0"/>
              </w:rPr>
              <w:t xml:space="preserve">. Refletem sobre alguns dos benefícios e desvantagens dos sistemas de IA.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Primeiro, os alunos pensam sobre o termo "inteligência" e participam num jogo do galo (círculos e cruzes) contra um algoritmo (“a folha de papel inteligente”). Depois, apresenta-se a inteligência artificial aos alunos, que examinam a diferença entre a abordagem baseada em regras e a abordagem orientada por dados, antes de lhes dar tempo para explorarem duas aplicações de IA. Os alunos são convidados a refletir sobre os benefícios que cada aplicação poderá trazer para a sociedade, bem como as consequências negativas que a sua utilização poderá acarretar.</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Descrever a diferença entre abordagens "orientadas por dados" e "baseadas em regras" para o desenvolvimento de aplicações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Citar exemplos de aplicações de IA</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Descrever alguns benefícios e problemas do uso de aplicações de 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Como os computadores aprendem com os dados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Nesta lição, os alunos desenvolvem a nova visão da inteligência artificial da Lição 1, com foco particular no uso de dados em sistemas de IA. As atividades ajudam os alunos a pensar criticamente sobre quais as partes de um sistema que usam os princípios da IA e sobre o papel que a aprendizagem automática desempenha na criação dos modelos apresentados na Lição 1.</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Primeiro, os alunos consideram a funcionalidade de um altifalante "inteligente", com vista a identificar quais as utilizações que envolvem técnicas orientadas por dados e quais as que não o fazem. A seguir, ficam a conhecer a definição e a descrição de "aprendizagem automática" e o seu papel no contexto da IA. Os alunos ouvem os especialistas falar sobre os diferentes tipos de aprendizagem automática e os problemas que o seu uso pode ajudar a resolver.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Por fim, os alunos aprendem sobre um exemplo específico de aprendizagem automática – a classificação. É aqui que os algoritmos são usados para classificar (agrupar) os dados em categorias (as chamadas "classes"), e os dados de exemplo que já foram rotulados têm de ser usados para treinar os algoritmos.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Definir a relação da aprendizagem automática com a inteligência artificial</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Citar as três abordagens comuns à aprendizagem automática</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Descrever como a classificação pode ser resolvida usando a aprendizagem supervisionada</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Tendência que entra, tendência que sai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Nesta lição, os alunos têm a oportunidade de criar o seu próprio modelo de aprendizagem automática. O modelo classifica imagens de maçãs e tomates, mas os alunos descobrem que o seu modelo apresenta falhas devido ao conjunto limitado de dados que usam para treinar os seus modelos. A seguir, os alunos exploram como a tendência pode aparecer em conjuntos de dados usados para treinar modelos, o que, por sua vez, faz com que os modelos produzam previsões tendenciosas.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Descrever o impacto dos dados na exatidão de um modelo de aprendizagem automática (ML) </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Explicar a necessidade tanto de dados de treino como de dados de teste </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Explicar como a tendência pode influenciar as previsões geradas por um modelo de ML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Árvores de decisão</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Nesta lição, pela primeira vez, os alunos analisam em profundidade um tipo de modelo: as árvores de decisão. As atividades baseiam-se na aprendizagem dos alunos nas Lições 1 a 3 sobre classificação, treino e dados de teste, bem como a natureza orientada por dados dos modelos. O objetivo desta lição é que os alunos compreendam os processos usados para criar modelos de aprendizagem automática.</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Primeiro, os alunos aprendem a estrutura de uma árvore de decisão, familiarizando-se com a terminologia principal e as partes de uma árvore de decisão. Depois, veem como uma árvore de decisão é usada para processar dados e prever um rótulo.</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A seguir, os alunos veem como se cria uma árvore de decisão usando dados de treino. O professor demonstra-lhes o processo usando a apresentação de diapositivos e, em seguida, eles aplicam o processo de forma independente com novos dados de treino. Os alunos também têm a oportunidade de ver o que realmente significa o termo "orientado por dados", já que as duas árvores de decisão que criam com diferentes dados de treino serão distintas.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Por fim, os alunos exploram os motivos pelos quais a aprendizagem automática é útil na criação de árvores de decisão, tanto no que diz respeito à escala (os conjuntos de dados usados para criar modelos de ML são muito grandes) como à adaptabilidade (sendo orientados por dados). Usam a ferramenta Machine Learning for Kids (Aprendizagem Automática para Crianças) para criar uma árvore de decisão com um conjunto de dados maior e depois usam a árvore de decisão que criarem.</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Descrever como as árvores de decisão são usadas para criar um modelo de ML de classificação</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Descrever como os dados de treino mudam um modelo de ML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Explicar por que motivo a ML é usada para criar árvores de decisão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Resolver problemas com modelos de ML</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Nesta lição, os alunos ficam a conhecer o ciclo de vida do projeto de IA e utilizam-no para criar um modelo de aprendizagem automática para resolver um problema da sua escolha.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Primeiro, os alunos ordenam as etapas do ciclo de vida do projeto de IA. Em seguida, ficam a conhecer a ideia da necessidade de adotar uma abordagem focada no utilizador ao trabalharem em projetos de IA. É apresentada uma seleção de projetos para os alunos escolherem e, em seguida, é-lhes pedido que treinem um modelo de aprendizagem automática e o testem para determinar a sua exatidão.</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Descrever as etapas do ciclo de vida do projeto de IA</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Usar uma ferramenta de aprendizagem automática para importar dados e treinar um modelo</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Testar e examinar a exatidão de um modelo de ML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Cartões de modelos e carreiras</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Nesta lição, os alunos concluem as etapas finais do ciclo de vida do projeto de IA: avaliar e explicar um modelo. Para os ajudar a explicar o respetivo modelo, os alunos familiarizam-se com os cartões de modelos, que são uma forma de os programadores de um modelo partilharem informações importantes sobre como usar o modelo, os resultados dos testes e eventuais limitações relacionadas com a exatidão do modelo.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Nas atividades finais desta lição, os alunos exploram uma série de carreiras, tanto no campo da IA como noutros campos em que as aplicações de IA são utilizadas. Os alunos aprendem mais sobre os membros da equipa da DeepMind que apareceram nos vídeos que viram ao longo da unidade, além de explorarem a forma como as aplicações de IA e a aprendizagem automática podem ser usadas em áreas do seu interesse.</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Avaliar um modelo de ML</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Produzir um cartão de modelo para explicar um modelo de ML</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Reconhecer a variedade de oportunidades que existem em carreiras relacionadas com IA</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Avaliação </w:t>
      </w:r>
    </w:p>
    <w:p w:rsidR="00000000" w:rsidDel="00000000" w:rsidP="00000000" w:rsidRDefault="00000000" w:rsidRPr="00000000" w14:paraId="0000003C">
      <w:pPr>
        <w:rPr/>
      </w:pPr>
      <w:r w:rsidDel="00000000" w:rsidR="00000000" w:rsidRPr="00000000">
        <w:rPr>
          <w:rtl w:val="0"/>
        </w:rPr>
        <w:t xml:space="preserve">As oportunidades para uma avaliação formativa estão descritas no plano de cada uma das seis lições. Além disso, esta unidade inclui uma avaliação englobante composta por 19 perguntas. O documento inclui a avaliação, bem como as respostas, e foi concebido para o ajudar a avaliar rapidamente o progresso feito pelos seus alunos e a identificar onde se formaram eventuais lacunas na aprendizagem deste tópico. Também elaborámos as perguntas de modo a torná-las adequadas para carregamento em plataformas de autoavaliação online, como o Google Forms.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Progressão</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A progressão nesta unidade foi cuidadosamente considerada no que diz respeito à forma como os alunos poderão progredir no conhecimento dos conceitos de IA incluídos nas lições. Foram elaborados gráficos de aprendizagem para demonstrar essa progressão. Para aprender alguns conceitos e competências, os alunos precisam de ter conhecimentos prévios de outros, portanto, os gráficos de aprendizagem mostram como os conceitos e as competências estão relacionados. Os gráficos de aprendizagem destinam-se a ser utilizados por professores.</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drawing>
          <wp:inline distB="114300" distT="114300" distL="114300" distR="114300">
            <wp:extent cx="8229600" cy="27432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Os gráficos de aprendizagem são disponibilizados em três formatos para demonstrar como a aprendizagem progride em relação a três medições: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7"/>
        </w:numPr>
        <w:ind w:left="720" w:hanging="360"/>
        <w:rPr>
          <w:u w:val="none"/>
        </w:rPr>
      </w:pPr>
      <w:r w:rsidDel="00000000" w:rsidR="00000000" w:rsidRPr="00000000">
        <w:rPr>
          <w:rtl w:val="0"/>
        </w:rPr>
        <w:t xml:space="preserve">Conceitos e competências</w:t>
      </w: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hyperlink r:id="rId8">
        <w:r w:rsidDel="00000000" w:rsidR="00000000" w:rsidRPr="00000000">
          <w:rPr>
            <w:color w:val="1155cc"/>
            <w:u w:val="single"/>
            <w:rtl w:val="0"/>
          </w:rPr>
          <w:t xml:space="preserve">A estrutura SEAME</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9">
        <w:r w:rsidDel="00000000" w:rsidR="00000000" w:rsidRPr="00000000">
          <w:rPr>
            <w:color w:val="1155cc"/>
            <w:u w:val="single"/>
            <w:rtl w:val="0"/>
          </w:rPr>
          <w:t xml:space="preserve">Taxonomia de Bloom</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Conhecimentos da matéria</w:t>
      </w:r>
      <w:r w:rsidDel="00000000" w:rsidR="00000000" w:rsidRPr="00000000">
        <w:rPr>
          <w:rtl w:val="0"/>
        </w:rPr>
      </w:r>
    </w:p>
    <w:p w:rsidR="00000000" w:rsidDel="00000000" w:rsidP="00000000" w:rsidRDefault="00000000" w:rsidRPr="00000000" w14:paraId="0000004A">
      <w:pPr>
        <w:pageBreakBefore w:val="0"/>
        <w:ind w:left="0" w:firstLine="0"/>
        <w:rPr/>
      </w:pPr>
      <w:r w:rsidDel="00000000" w:rsidR="00000000" w:rsidRPr="00000000">
        <w:rPr>
          <w:rtl w:val="0"/>
        </w:rPr>
        <w:t xml:space="preserve">Esta unidade foi concebida para apoiar os professores que poderão ter nenhuma ou pouca experiência na transmissão de conteúdo de IA e de ML a alunos jovens. Os planos das lições incluem explicações detalhadas de todo o vocabulário e conceitos-chave abordados em cada lição, e as apresentações de diapositivos incluem vídeos dos especialistas da DeepMind, que descrevem novos conceitos diretamente aos seus alunos. </w:t>
      </w:r>
    </w:p>
    <w:p w:rsidR="00000000" w:rsidDel="00000000" w:rsidP="00000000" w:rsidRDefault="00000000" w:rsidRPr="00000000" w14:paraId="0000004B">
      <w:pPr>
        <w:pageBreakBefore w:val="0"/>
        <w:ind w:left="0" w:firstLine="0"/>
        <w:rPr/>
      </w:pPr>
      <w:r w:rsidDel="00000000" w:rsidR="00000000" w:rsidRPr="00000000">
        <w:rPr>
          <w:rtl w:val="0"/>
        </w:rPr>
        <w:t xml:space="preserve">A nossa série de webinars desvenda cada lição e explora os conceitos por trás das mesmas: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C">
      <w:pPr>
        <w:pStyle w:val="Heading2"/>
        <w:rPr/>
      </w:pPr>
      <w:bookmarkStart w:colFirst="0" w:colLast="0" w:name="_3znysh7" w:id="3"/>
      <w:bookmarkEnd w:id="3"/>
      <w:r w:rsidDel="00000000" w:rsidR="00000000" w:rsidRPr="00000000">
        <w:rPr>
          <w:rtl w:val="0"/>
        </w:rPr>
        <w:t xml:space="preserve">Sites usados nesta unidade</w:t>
      </w:r>
    </w:p>
    <w:p w:rsidR="00000000" w:rsidDel="00000000" w:rsidP="00000000" w:rsidRDefault="00000000" w:rsidRPr="00000000" w14:paraId="0000004D">
      <w:pPr>
        <w:spacing w:line="276" w:lineRule="auto"/>
        <w:rPr>
          <w:b w:val="1"/>
        </w:rPr>
      </w:pPr>
      <w:r w:rsidDel="00000000" w:rsidR="00000000" w:rsidRPr="00000000">
        <w:rPr>
          <w:rtl w:val="0"/>
        </w:rPr>
        <w:t xml:space="preserve">Segue-se uma lista de sites usados nas lições do programa Experience AI. Recomendamos que verifique se as ligações funcionam no contexto da sua sala de aula, tanto para professores como para alunos, antes de dar a lição.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Lição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3">
            <w:pPr>
              <w:spacing w:line="276" w:lineRule="auto"/>
              <w:rPr/>
            </w:pPr>
            <w:r w:rsidDel="00000000" w:rsidR="00000000" w:rsidRPr="00000000">
              <w:rPr>
                <w:rtl w:val="0"/>
              </w:rPr>
              <w:t xml:space="preserve">Dados de atividade da IA no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Visão artificial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http://rpf.io/ai-computer-vision-pt-pt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76" w:lineRule="auto"/>
              <w:rPr/>
            </w:pPr>
            <w:r w:rsidDel="00000000" w:rsidR="00000000" w:rsidRPr="00000000">
              <w:rPr>
                <w:rtl w:val="0"/>
              </w:rPr>
              <w:t xml:space="preserve">Dados de treino e de teste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http://rpf.io/ai-supermarket-pt-pt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76" w:lineRule="auto"/>
              <w:rPr/>
            </w:pPr>
            <w:r w:rsidDel="00000000" w:rsidR="00000000" w:rsidRPr="00000000">
              <w:rPr>
                <w:rtl w:val="0"/>
              </w:rPr>
              <w:t xml:space="preserve">Dados do projeto de classificação de resíduos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 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http://rpf.io/ai-waste-classification-pt-pt</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Outros sites de atividades estudantis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line="276" w:lineRule="auto"/>
              <w:rPr/>
            </w:pPr>
            <w:r w:rsidDel="00000000" w:rsidR="00000000" w:rsidRPr="00000000">
              <w:rPr>
                <w:rtl w:val="0"/>
              </w:rPr>
              <w:t xml:space="preserve">Cartões de modelos do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B">
            <w:pPr>
              <w:spacing w:line="276" w:lineRule="auto"/>
              <w:rPr/>
            </w:pPr>
            <w:r w:rsidDel="00000000" w:rsidR="00000000" w:rsidRPr="00000000">
              <w:rPr>
                <w:rtl w:val="0"/>
              </w:rPr>
              <w:t xml:space="preserve">Uma série de vídeos da Raspberry Pi alojados no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O que é a inteligência artificial?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76" w:lineRule="auto"/>
              <w:rPr/>
            </w:pPr>
            <w:r w:rsidDel="00000000" w:rsidR="00000000" w:rsidRPr="00000000">
              <w:rPr>
                <w:rtl w:val="0"/>
              </w:rPr>
              <w:t xml:space="preserve">O que é a aprendizagem automática?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rPr/>
            </w:pPr>
            <w:r w:rsidDel="00000000" w:rsidR="00000000" w:rsidRPr="00000000">
              <w:rPr>
                <w:rtl w:val="0"/>
              </w:rPr>
              <w:t xml:space="preserve">Como é que as máquinas aprendem?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76" w:lineRule="auto"/>
              <w:rPr/>
            </w:pPr>
            <w:r w:rsidDel="00000000" w:rsidR="00000000" w:rsidRPr="00000000">
              <w:rPr>
                <w:rtl w:val="0"/>
              </w:rPr>
              <w:t xml:space="preserve">Classificar os leões no Serengeti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76" w:lineRule="auto"/>
              <w:rPr/>
            </w:pPr>
            <w:r w:rsidDel="00000000" w:rsidR="00000000" w:rsidRPr="00000000">
              <w:rPr>
                <w:rtl w:val="0"/>
              </w:rPr>
              <w:t xml:space="preserve">Aprendizagem automática: tendência que entra, tendência que sai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76" w:lineRule="auto"/>
              <w:rPr/>
            </w:pPr>
            <w:r w:rsidDel="00000000" w:rsidR="00000000" w:rsidRPr="00000000">
              <w:rPr>
                <w:rtl w:val="0"/>
              </w:rPr>
              <w:t xml:space="preserve">Escolher o seu modelo de aprendizagem automática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76" w:lineRule="auto"/>
              <w:rPr/>
            </w:pPr>
            <w:r w:rsidDel="00000000" w:rsidR="00000000" w:rsidRPr="00000000">
              <w:rPr>
                <w:rtl w:val="0"/>
              </w:rPr>
              <w:t xml:space="preserve">Como fazer uma árvore de decisão com aprendizagem automática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76" w:lineRule="auto"/>
              <w:rPr/>
            </w:pPr>
            <w:r w:rsidDel="00000000" w:rsidR="00000000" w:rsidRPr="00000000">
              <w:rPr>
                <w:rtl w:val="0"/>
              </w:rPr>
              <w:t xml:space="preserve">Como são feitas as aplicações de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76" w:lineRule="auto"/>
              <w:rPr/>
            </w:pPr>
            <w:r w:rsidDel="00000000" w:rsidR="00000000" w:rsidRPr="00000000">
              <w:rPr>
                <w:rtl w:val="0"/>
              </w:rPr>
              <w:t xml:space="preserve">Introdução ao projeto de notícias falsas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76" w:lineRule="auto"/>
              <w:rPr/>
            </w:pPr>
            <w:r w:rsidDel="00000000" w:rsidR="00000000" w:rsidRPr="00000000">
              <w:rPr>
                <w:rtl w:val="0"/>
              </w:rPr>
              <w:t xml:space="preserve">Introdução ao projeto de classificação de dados oceânicos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76" w:lineRule="auto"/>
              <w:rPr/>
            </w:pPr>
            <w:r w:rsidDel="00000000" w:rsidR="00000000" w:rsidRPr="00000000">
              <w:rPr>
                <w:rtl w:val="0"/>
              </w:rPr>
              <w:t xml:space="preserve">Escolher o modelo certo para a sua aplicação de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76" w:lineRule="auto"/>
              <w:rPr/>
            </w:pPr>
            <w:r w:rsidDel="00000000" w:rsidR="00000000" w:rsidRPr="00000000">
              <w:rPr>
                <w:rtl w:val="0"/>
              </w:rPr>
              <w:t xml:space="preserve">Como é trabalhar com a 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Além disso, estes sites são sugeridos para apoiar o professor com conhecimentos da disciplina:</w:t>
      </w:r>
    </w:p>
    <w:p w:rsidR="00000000" w:rsidDel="00000000" w:rsidP="00000000" w:rsidRDefault="00000000" w:rsidRPr="00000000" w14:paraId="0000009D">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Recurso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1">
            <w:pPr>
              <w:spacing w:line="276" w:lineRule="auto"/>
              <w:rPr/>
            </w:pPr>
            <w:r w:rsidDel="00000000" w:rsidR="00000000" w:rsidRPr="00000000">
              <w:rPr>
                <w:rtl w:val="0"/>
              </w:rPr>
              <w:t xml:space="preserve">Artigos de pedagogia da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Estrutura SEAME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pPr>
            <w:r w:rsidDel="00000000" w:rsidR="00000000" w:rsidRPr="00000000">
              <w:rPr>
                <w:rtl w:val="0"/>
              </w:rPr>
              <w:t xml:space="preserve">Leitura rápida: Abordar conceções alternativas dos alunos em computação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76" w:lineRule="auto"/>
              <w:rPr/>
            </w:pPr>
            <w:r w:rsidDel="00000000" w:rsidR="00000000" w:rsidRPr="00000000">
              <w:rPr>
                <w:rtl w:val="0"/>
              </w:rPr>
              <w:t xml:space="preserve">Leitura rápida: Melhorar as explicações e atividades de aprendizagem em computação usando ondas semânticas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t xml:space="preserve">Leitura adicional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76" w:lineRule="auto"/>
              <w:rPr/>
            </w:pPr>
            <w:r w:rsidDel="00000000" w:rsidR="00000000" w:rsidRPr="00000000">
              <w:rPr>
                <w:rtl w:val="0"/>
              </w:rPr>
              <w:t xml:space="preserve">Cartões de modelos do Google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rPr/>
            </w:pPr>
            <w:r w:rsidDel="00000000" w:rsidR="00000000" w:rsidRPr="00000000">
              <w:rPr>
                <w:rtl w:val="0"/>
              </w:rPr>
              <w:t xml:space="preserve">Taxonomia de Bloom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76" w:lineRule="auto"/>
              <w:rPr/>
            </w:pPr>
            <w:r w:rsidDel="00000000" w:rsidR="00000000" w:rsidRPr="00000000">
              <w:rPr>
                <w:rtl w:val="0"/>
              </w:rPr>
              <w:t xml:space="preserve">Artigo da Wikipedia sobre Deep Blue versus Garry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pPr>
            <w:r w:rsidDel="00000000" w:rsidR="00000000" w:rsidRPr="00000000">
              <w:rPr>
                <w:rtl w:val="0"/>
              </w:rPr>
              <w:t xml:space="preserve">A folha de papel inteligente da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pStyle w:val="Heading2"/>
        <w:rPr/>
      </w:pPr>
      <w:bookmarkStart w:colFirst="0" w:colLast="0" w:name="_ve72edbczmpi" w:id="4"/>
      <w:bookmarkEnd w:id="4"/>
      <w:r w:rsidDel="00000000" w:rsidR="00000000" w:rsidRPr="00000000">
        <w:rPr>
          <w:rtl w:val="0"/>
        </w:rPr>
        <w:t xml:space="preserve">Dê-nos a sua opinião!</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Gostaríamos de saber como usou as lições do programa Experience AI e o que achou delas.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Depois de usar as lições, reserve alguns minutos para:</w:t>
      </w:r>
    </w:p>
    <w:p w:rsidR="00000000" w:rsidDel="00000000" w:rsidP="00000000" w:rsidRDefault="00000000" w:rsidRPr="00000000" w14:paraId="000000BD">
      <w:pPr>
        <w:rPr/>
      </w:pPr>
      <w:r w:rsidDel="00000000" w:rsidR="00000000" w:rsidRPr="00000000">
        <w:rPr>
          <w:rtl w:val="0"/>
        </w:rPr>
        <w:t xml:space="preserve">Partilhar os seus comentários no nosso inquérito aos utilizadores: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Se é um educador, peça aos seus alunos que respondam a um breve inquérito: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 sua opinião ajuda-nos a tornar o programa Experience AI acessível a todos, e agradecemos muito o facto de ter dedicado o seu tempo a partilhar o que pensa.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2" name="image1.png"/>
              <a:graphic>
                <a:graphicData uri="http://schemas.openxmlformats.org/drawingml/2006/picture">
                  <pic:pic>
                    <pic:nvPicPr>
                      <pic:cNvPr id="0" name="image1.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Este recurso é licenciado pela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através de uma Licença Pública Internacional Creative Commons Attribution-NonCommercial-NoDerivatives 4.0 (CC BY-NC-ND 4.0). Para mais informações sobre esta licença, consulte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Página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Página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Lições do Programa Experience AI</w:t>
      <w:tab/>
      <w:tab/>
      <w:tab/>
      <w:tab/>
      <w:tab/>
      <w:tab/>
      <w:tab/>
      <w:tab/>
      <w:t xml:space="preserve">                                                                             Visão geral da unidade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ind w:left="0" w:firstLine="0"/>
      <w:rPr>
        <w:color w:val="666666"/>
        <w:sz w:val="18"/>
        <w:szCs w:val="18"/>
      </w:rPr>
    </w:pPr>
    <w:r w:rsidDel="00000000" w:rsidR="00000000" w:rsidRPr="00000000">
      <w:rPr>
        <w:rtl w:val="0"/>
      </w:rPr>
    </w:r>
  </w:p>
  <w:p w:rsidR="00000000" w:rsidDel="00000000" w:rsidP="00000000" w:rsidRDefault="00000000" w:rsidRPr="00000000" w14:paraId="000000C9">
    <w:pPr>
      <w:ind w:left="0" w:firstLine="0"/>
      <w:rPr>
        <w:color w:val="666666"/>
        <w:sz w:val="18"/>
        <w:szCs w:val="18"/>
      </w:rPr>
    </w:pPr>
    <w:r w:rsidDel="00000000" w:rsidR="00000000" w:rsidRPr="00000000">
      <w:rPr>
        <w:color w:val="666666"/>
        <w:sz w:val="18"/>
        <w:szCs w:val="18"/>
        <w:rtl w:val="0"/>
      </w:rPr>
      <w:t xml:space="preserve">Lições do Programa Experience AI</w:t>
    </w:r>
    <w:r w:rsidDel="00000000" w:rsidR="00000000" w:rsidRPr="00000000">
      <w:rPr>
        <w:sz w:val="16"/>
        <w:szCs w:val="16"/>
        <w:rtl w:val="0"/>
      </w:rPr>
      <w:tab/>
      <w:tab/>
      <w:tab/>
      <w:tab/>
      <w:tab/>
      <w:tab/>
      <w:tab/>
      <w:tab/>
      <w:tab/>
      <w:tab/>
      <w:tab/>
      <w:tab/>
    </w:r>
    <w:r w:rsidDel="00000000" w:rsidR="00000000" w:rsidRPr="00000000">
      <w:rPr>
        <w:color w:val="666666"/>
        <w:sz w:val="18"/>
        <w:szCs w:val="18"/>
        <w:rtl w:val="0"/>
      </w:rPr>
      <w:t xml:space="preserve">Visão geral da unidade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1.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pt-pt"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pt-pt" TargetMode="External"/><Relationship Id="rId12" Type="http://schemas.openxmlformats.org/officeDocument/2006/relationships/hyperlink" Target="http://rpf.io/ai-supermarket-pt-pt"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